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lastRenderedPageBreak/>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46"/>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6"/>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6"/>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6"/>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Jackhammering, Cutting, Grinding and Core Drilling—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Silica dust inhalation —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Use integrated water feed or continuous low-pressure misting at point of cut to keep surface wet, no high-pressure sprays. Manage slurry—remove/dispose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Clean-up (bulk) using M-class with HEPA extraction or wet clean—no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Wet method stops/extraction fails — P2 not worn — exclusion zone breached — visible dust beyond zone —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Concrete Breakout and Spalling Repair</w:t>
            </w:r>
          </w:p>
          <w:p>
            <w:pPr>
              <w:spacing w:before="20" w:after="20" w:line="276"/>
            </w:pPr>
            <w:r>
              <w:rPr>
                <w:rFonts w:ascii="Aptos" w:hAnsi="Aptos"/>
                <w:sz w:val="16"/>
                <w:szCs w:val="16"/>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pPr>
            <w:r>
              <w:rPr>
                <w:rFonts w:ascii="Aptos" w:hAnsi="Aptos"/>
                <w:sz w:val="16"/>
                <w:szCs w:val="16"/>
              </w:rPr>
              <w:t xml:space="preserve">Structural collapse if load-bearing element undermined during breakout. Silica dust from concrete removal — silicosis risk. Flying debris and fragments. Noise exposure. Hand-arm vibration from power tools. Working at height during façade repairs. Hidden deterioration beyond assessed extent.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Structural engineer repair specification and drawings on site — depth of breakout, reinforcement treatment, repair mortar system confirmed in writing before breakout commences</w:t>
            </w:r>
          </w:p>
          <w:p>
            <w:pPr>
              <w:spacing w:before="20" w:after="20" w:line="276"/>
              <w:numPr>
                <w:ilvl w:val="0"/>
                <w:numId w:val="44"/>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numPr>
                <w:ilvl w:val="0"/>
                <w:numId w:val="44"/>
              </w:numPr>
            </w:pPr>
            <w:r>
              <w:rPr>
                <w:rFonts w:ascii="Aptos" w:hAnsi="Aptos"/>
                <w:sz w:val="16"/>
                <w:szCs w:val="16"/>
              </w:rPr>
              <w:t xml:space="preserve">Temporary propping confirmed in place where breakout affects load-bearing elements (beams, columns, slabs) — propping design by competent person, installed and inspected before any concrete removed</w:t>
            </w:r>
          </w:p>
          <w:p>
            <w:pPr>
              <w:spacing w:before="20" w:after="20" w:line="276"/>
              <w:numPr>
                <w:ilvl w:val="0"/>
                <w:numId w:val="44"/>
              </w:numPr>
            </w:pPr>
            <w:r>
              <w:rPr>
                <w:rFonts w:ascii="Aptos" w:hAnsi="Aptos"/>
                <w:sz w:val="16"/>
                <w:szCs w:val="16"/>
              </w:rPr>
              <w:t xml:space="preserve">Exclusion zone confirmed below work area — debris catch or overhead protection in place where work is above public or occupied areas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on all power tools — vacuum-attached scabblers and needle guns. Water suppression where dust extraction not practicable. Physical barriers to contain debris — mesh screens on scaffold, drop sheets below work zone. Vibration-dampened tool handles where available.</w:t>
            </w:r>
          </w:p>
          <w:p>
            <w:pPr>
              <w:spacing w:before="20" w:after="20" w:line="276"/>
              <w:numPr>
                <w:ilvl w:val="0"/>
                <w:numId w:val="45"/>
              </w:numPr>
            </w:pPr>
            <w:r>
              <w:rPr>
                <w:rFonts w:ascii="Aptos" w:hAnsi="Aptos"/>
                <w:sz w:val="16"/>
                <w:szCs w:val="16"/>
              </w:rPr>
              <w:t xml:space="preserve">Minimum 25mm clearance around exposed reinforcement — confirmed before mortar application. Clearance allows proper cleaning, priming, and mortar encapsulation of rebar.</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Silica dust exposure assessment completed — air monitoring if breakout exceeds 4 hours continuous. Vibration exposure log maintained — tool rotation every 30 minutes. Spotter below when working at height.</w:t>
            </w:r>
          </w:p>
          <w:p>
            <w:pPr>
              <w:spacing w:before="20" w:after="20" w:line="276"/>
              <w:numPr>
                <w:ilvl w:val="0"/>
                <w:numId w:val="45"/>
              </w:numPr>
            </w:pPr>
            <w:r>
              <w:rPr>
                <w:rFonts w:ascii="Aptos" w:hAnsi="Aptos"/>
                <w:sz w:val="16"/>
                <w:szCs w:val="16"/>
              </w:rPr>
              <w:t xml:space="preserve">Rebar cleaned to bright metal (SA 2.5 or equivalent). Passivation primer (zinc-rich or epoxy per engineer specification) applied within product open time — no contamination of prepared surface between cleaning and priming. Product must match specification — no substitution without engineer approval.</w:t>
            </w:r>
          </w:p>
          <w:p>
            <w:pPr>
              <w:spacing w:before="20" w:after="20" w:line="276"/>
              <w:numPr>
                <w:ilvl w:val="0"/>
                <w:numId w:val="45"/>
              </w:numPr>
            </w:pPr>
            <w:r>
              <w:rPr>
                <w:rFonts w:ascii="Aptos" w:hAnsi="Aptos"/>
                <w:sz w:val="16"/>
                <w:szCs w:val="16"/>
              </w:rPr>
              <w:t xml:space="preserve">Repair mortar applied in lifts per specification — product and method matching engineer design. Mortar to fully encapsulate rebar with no voids. Surface finished to match surrounding profile.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P2 respirator (minimum) — half-face P3 with particulate filter if air monitoring indicates. Eye protection and face shield during breakout. Hearing protection (&gt;85 dB, Class 5 minimum). Cut-resistant gloves. Steel-capped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Dust extraction fails or is inadequate — visible dust plume beyond immediate work zone. Reinforcement cross-section loss exceeds 20% or engineer tolerance — stop work, notify engineer for supplementary reinforcement design before proceeding. Structural concern, unexpected cracking, movement, or voids encountered during breakout —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Crack Stitching and Structural Reinforcement</w:t>
            </w:r>
          </w:p>
          <w:p>
            <w:pPr>
              <w:spacing w:before="20" w:after="20" w:line="276"/>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pPr>
            <w:r>
              <w:rPr>
                <w:rFonts w:ascii="Aptos" w:hAnsi="Aptos"/>
                <w:sz w:val="16"/>
                <w:szCs w:val="16"/>
              </w:rPr>
              <w:t xml:space="preserve">Silica dust from slot cutting. Noise from cutting equipment. Epoxy and resin chemical exposure. Working at height. Structural instability during repair.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Slot cutting with vacuum-attached blade guard — no dry cutting. Depth stop set on cutting equipment per engineering specification — typically 25–35mm into mortar beds. Services scan (CAT/Genny) before cutting into any substrate. Containment of epoxy/grout waste.</w:t>
            </w:r>
          </w:p>
          <w:p>
            <w:pPr>
              <w:spacing w:before="20" w:after="20" w:line="276"/>
            </w:pPr>
            <w:r>
              <w:rPr>
                <w:rFonts w:ascii="Aptos" w:hAnsi="Aptos"/>
                <w:sz w:val="16"/>
                <w:szCs w:val="16"/>
                <w:b/>
              </w:rPr>
              <w:t xml:space="preserve">Admin: </w:t>
            </w:r>
            <w:r>
              <w:rPr>
                <w:rFonts w:ascii="Aptos" w:hAnsi="Aptos"/>
                <w:sz w:val="16"/>
                <w:szCs w:val="16"/>
              </w:rPr>
              <w:t xml:space="preserve">Engineering specification and drawings reviewed before commencement — slot depths, bar sizes, spacing, grout product confirmed. SDS for all epoxy, grout, and primer products reviewed — Fosroc Nitoprime, Renderox, WHO-60 or equivalent. Crack monitoring record completed before and after stitching. Structural engineer sign-off required before proceeding if crack width exceeds specification tolerance.</w:t>
            </w:r>
          </w:p>
          <w:p>
            <w:pPr>
              <w:spacing w:before="20" w:after="20" w:line="276"/>
            </w:pPr>
            <w:r>
              <w:rPr>
                <w:rFonts w:ascii="Aptos" w:hAnsi="Aptos"/>
                <w:sz w:val="16"/>
                <w:szCs w:val="16"/>
                <w:b/>
              </w:rPr>
              <w:t xml:space="preserve">PPE: </w:t>
            </w:r>
            <w:r>
              <w:rPr>
                <w:rFonts w:ascii="Aptos" w:hAnsi="Aptos"/>
                <w:sz w:val="16"/>
                <w:szCs w:val="16"/>
              </w:rPr>
              <w:t xml:space="preserve">P2 respirator during cutting operations. Nitrile gloves for epoxy and grout handling — no skin contact with uncured resin. Eye protection. Hearing protection (&gt;85 dB) during cutting.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 unexpected movement or displacement observed — services detected in cutting path — structural engineer advises hold — product temperature outside application range.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Epoxy Crack Injection</w:t>
            </w:r>
          </w:p>
          <w:p>
            <w:pPr>
              <w:spacing w:before="20" w:after="20" w:line="276"/>
            </w:pPr>
            <w:r>
              <w:rPr>
                <w:rFonts w:ascii="Aptos" w:hAnsi="Aptos"/>
                <w:sz w:val="16"/>
                <w:szCs w:val="16"/>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pPr>
            <w:r>
              <w:rPr>
                <w:rFonts w:ascii="Aptos" w:hAnsi="Aptos"/>
                <w:sz w:val="16"/>
                <w:szCs w:val="16"/>
              </w:rPr>
              <w:t xml:space="preserve">Skin sensitisation from epoxy resin — allergic contact dermatitis. Eye contact with epoxy hardener — chemical burns. Solvent vapour inhalation from injection products. Injection equipment under pressure — hose or fitting failure. Exothermic reaction in large resin volumes. Silica dust from port drilling (cross-reference SIL task).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Injection equipment maintained per manufacturer — pressure relief valve functional, hose connections checked before use. Mixing ratios per product data sheet — do not exceed pot life. Resin mixed in small batches to control exotherm. Port drilling dust-controlled (HEPA shroud or wet method per SIL task).</w:t>
            </w:r>
          </w:p>
          <w:p>
            <w:pPr>
              <w:spacing w:before="20" w:after="20" w:line="276"/>
            </w:pPr>
            <w:r>
              <w:rPr>
                <w:rFonts w:ascii="Aptos" w:hAnsi="Aptos"/>
                <w:sz w:val="16"/>
                <w:szCs w:val="16"/>
                <w:b/>
              </w:rPr>
              <w:t xml:space="preserve">Admin: </w:t>
            </w:r>
            <w:r>
              <w:rPr>
                <w:rFonts w:ascii="Aptos" w:hAnsi="Aptos"/>
                <w:sz w:val="16"/>
                <w:szCs w:val="16"/>
              </w:rPr>
              <w:t xml:space="preserve">SDS for epoxy resin, hardener, and crack sealer reviewed before use — on site and accessible. Ventilation confirmed adequate — outdoor work preferred. Injection pressure monitored — do not exceed manufacturer limit. Crack width and depth assessed against engineer specification before injection. Workers trained in epoxy handling and first aid for chemical contact.</w:t>
            </w:r>
          </w:p>
          <w:p>
            <w:pPr>
              <w:spacing w:before="20" w:after="20" w:line="276"/>
            </w:pPr>
            <w:r>
              <w:rPr>
                <w:rFonts w:ascii="Aptos" w:hAnsi="Aptos"/>
                <w:sz w:val="16"/>
                <w:szCs w:val="16"/>
                <w:b/>
              </w:rPr>
              <w:t xml:space="preserve">PPE: </w:t>
            </w:r>
            <w:r>
              <w:rPr>
                <w:rFonts w:ascii="Aptos" w:hAnsi="Aptos"/>
                <w:sz w:val="16"/>
                <w:szCs w:val="16"/>
              </w:rPr>
              <w:t xml:space="preserve">Nitrile chemical-resistant gloves (minimum) — no skin contact with uncured resin. Eye protection (safety glasses or goggles). P2 respirator if in semi-enclosed area or extended exposure. Disposable coveralls recommended.</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Skin contact with uncured resin — wash immediately with soap and water, do not use solvent. Eye contact — flush 15 minutes, seek medical attention immediately. Injection pressure exceeds manufacturer limit. Crack leaking resin externally — depressurise and reseal. Product temperature outside application range. Exothermic reaction detected in mixing container — do not handle, allow to cool in safe location.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Waterproofing and Membrane Application</w:t>
            </w:r>
          </w:p>
          <w:p>
            <w:pPr>
              <w:spacing w:before="20" w:after="20" w:line="276"/>
            </w:pPr>
            <w:r>
              <w:rPr>
                <w:rFonts w:ascii="Aptos" w:hAnsi="Aptos"/>
                <w:sz w:val="16"/>
                <w:szCs w:val="16"/>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pPr>
            <w:r>
              <w:rPr>
                <w:rFonts w:ascii="Aptos" w:hAnsi="Aptos"/>
                <w:sz w:val="16"/>
                <w:szCs w:val="16"/>
              </w:rPr>
              <w:t xml:space="preserve">Chemical exposure from primers, membranes, and solvents. Slip hazard on wet/coated surfaces. Fumes in enclosed areas. Manual handling of membrane rolls and equipment.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Ventilation maintained in enclosed application areas — mechanical ventilation if natural airflow insufficient. Non-slip walking paths maintained around wet membrane areas. Drainage provisions to prevent water pooling on uncured membrane.</w:t>
            </w:r>
          </w:p>
          <w:p>
            <w:pPr>
              <w:spacing w:before="20" w:after="20" w:line="276"/>
            </w:pPr>
            <w:r>
              <w:rPr>
                <w:rFonts w:ascii="Aptos" w:hAnsi="Aptos"/>
                <w:sz w:val="16"/>
                <w:szCs w:val="16"/>
                <w:b/>
              </w:rPr>
              <w:t xml:space="preserve">Admin: </w:t>
            </w:r>
            <w:r>
              <w:rPr>
                <w:rFonts w:ascii="Aptos" w:hAnsi="Aptos"/>
                <w:sz w:val="16"/>
                <w:szCs w:val="16"/>
              </w:rPr>
              <w:t xml:space="preserve">Waterproofing specification and system data sheet reviewed — substrate preparation, primer, membrane type, application rates, cure times confirmed. SDS for all products reviewed before use. Ambient temperature and substrate moisture checked before application — no application outside product parameters. Wet film thickness checks during application. For concrete cancer remediation: anti-carbonation coating applied to cured repair mortar per engineer specification before membrane or final coating — product and coverage rate as specified.</w:t>
            </w:r>
          </w:p>
          <w:p>
            <w:pPr>
              <w:spacing w:before="20" w:after="20" w:line="276"/>
            </w:pPr>
            <w:r>
              <w:rPr>
                <w:rFonts w:ascii="Aptos" w:hAnsi="Aptos"/>
                <w:sz w:val="16"/>
                <w:szCs w:val="16"/>
                <w:b/>
              </w:rPr>
              <w:t xml:space="preserve">PPE: </w:t>
            </w:r>
            <w:r>
              <w:rPr>
                <w:rFonts w:ascii="Aptos" w:hAnsi="Aptos"/>
                <w:sz w:val="16"/>
                <w:szCs w:val="16"/>
              </w:rPr>
              <w:t xml:space="preserve">Nitrile gloves — chemical-resistant. P2 respirator with organic vapour cartridge if solvent-based products. Eye protection. Non-slip footwear. Disposable overalls where splash risk exists.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Temperature outside product application range — substrate moisture exceeds product tolerance — rain imminent on uncured membrane — ventilation fails in enclosed area — product shelf life expired.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Expansion Joint Replacement</w:t>
            </w:r>
          </w:p>
          <w:p>
            <w:pPr>
              <w:spacing w:before="20" w:after="20" w:line="276"/>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pPr>
            <w:r>
              <w:rPr>
                <w:rFonts w:ascii="Aptos" w:hAnsi="Aptos"/>
                <w:sz w:val="16"/>
                <w:szCs w:val="16"/>
              </w:rPr>
              <w:t xml:space="preserve">Working at height during façade joint replacement. Chemical exposure from sealants and primers. Noise from cutting/grinding old joint material. Debris and dust. Hand tool injuries.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Dust extraction during mechanical removal of old sealant. Containment of removed sealant and debris — no material to fall below. Backer rod sized correctly to joint width — minimum 25% compression. Joint faces clean, dry, and primed before sealant application.</w:t>
            </w:r>
          </w:p>
          <w:p>
            <w:pPr>
              <w:spacing w:before="20" w:after="20" w:line="276"/>
            </w:pPr>
            <w:r>
              <w:rPr>
                <w:rFonts w:ascii="Aptos" w:hAnsi="Aptos"/>
                <w:sz w:val="16"/>
                <w:szCs w:val="16"/>
                <w:b/>
              </w:rPr>
              <w:t xml:space="preserve">Admin: </w:t>
            </w:r>
            <w:r>
              <w:rPr>
                <w:rFonts w:ascii="Aptos" w:hAnsi="Aptos"/>
                <w:sz w:val="16"/>
                <w:szCs w:val="16"/>
              </w:rPr>
              <w:t xml:space="preserve">Joint schedule and sealant specification reviewed — joint widths, depths, sealant type, primer compatibility confirmed. SDS for sealant, primer, and backer rod products reviewed. Joint movement range confirmed with structural engineer if movement exceeds original design. Weather check — no application in rain or below product minimum temperature.</w:t>
            </w:r>
          </w:p>
          <w:p>
            <w:pPr>
              <w:spacing w:before="20" w:after="20" w:line="276"/>
            </w:pPr>
            <w:r>
              <w:rPr>
                <w:rFonts w:ascii="Aptos" w:hAnsi="Aptos"/>
                <w:sz w:val="16"/>
                <w:szCs w:val="16"/>
                <w:b/>
              </w:rPr>
              <w:t xml:space="preserve">PPE: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Joint movement exceeds design parameters — substrate condition prevents proper adhesion — rain during application — product outside temperature range — joint depth or width significantly different from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sz w:val="16"/>
                <w:szCs w:val="16"/>
              </w:rPr>
              <w:t>Mechanical joint preparation — oscillating tool or hook blade to remove old sealant — If joint widening requires cutting into concrete or masonry apply Silica controls</w:t>
            </w:r>
            <w:r>
              <w:rPr>
                <w:rFonts w:ascii="Aptos" w:hAnsi="Aptos"/>
                <w:sz w:val="16"/>
                <w:szCs w:val="16"/>
              </w:rPr>
              <w:br/>
            </w:r>
            <w:r>
              <w:rPr>
                <w:rFonts w:ascii="Aptos" w:hAnsi="Aptos"/>
                <w:b/>
                <w:sz w:val="16"/>
                <w:szCs w:val="16"/>
              </w:rPr>
              <w:t xml:space="preserve">Engineering: </w:t>
            </w:r>
            <w:r>
              <w:rPr>
                <w:rFonts w:ascii="Aptos" w:hAnsi="Aptos"/>
                <w:sz w:val="16"/>
                <w:szCs w:val="16"/>
              </w:rPr>
              <w:t>Backer rod installed to correct depth before sealant application — confirm joint profile per manufacturer's specification</w:t>
            </w:r>
            <w:r>
              <w:rPr>
                <w:rFonts w:ascii="Aptos" w:hAnsi="Aptos"/>
                <w:sz w:val="16"/>
                <w:szCs w:val="16"/>
              </w:rPr>
              <w:br/>
            </w:r>
            <w:r>
              <w:rPr>
                <w:rFonts w:ascii="Aptos" w:hAnsi="Aptos"/>
                <w:b/>
                <w:sz w:val="16"/>
                <w:szCs w:val="16"/>
              </w:rPr>
              <w:t xml:space="preserve">Admin: </w:t>
            </w:r>
            <w:r>
              <w:rPr>
                <w:rFonts w:ascii="Aptos" w:hAnsi="Aptos"/>
                <w:sz w:val="16"/>
                <w:szCs w:val="16"/>
              </w:rPr>
              <w:t>SDS reviewed for sealant and primer products — on site before use. Product compatibility confirmed with substrate and adjacent coatings</w:t>
            </w:r>
            <w:r>
              <w:rPr>
                <w:rFonts w:ascii="Aptos" w:hAnsi="Aptos"/>
                <w:sz w:val="16"/>
                <w:szCs w:val="16"/>
              </w:rPr>
              <w:br/>
            </w:r>
            <w:r>
              <w:rPr>
                <w:rFonts w:ascii="Aptos" w:hAnsi="Aptos"/>
                <w:b/>
                <w:sz w:val="16"/>
                <w:szCs w:val="16"/>
              </w:rPr>
              <w:t xml:space="preserve">PPE: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STOP WORK if:</w:t>
            </w:r>
            <w:r>
              <w:rPr>
                <w:rFonts w:ascii="Aptos" w:hAnsi="Aptos"/>
                <w:b/>
                <w:bCs/>
                <w:sz w:val="16"/>
                <w:szCs w:val="16"/>
              </w:rPr>
              <w:t xml:space="preserve"> </w:t>
            </w:r>
            <w:r>
              <w:rPr>
                <w:rFonts w:ascii="Aptos" w:hAnsi="Aptos"/>
                <w:sz w:val="16"/>
                <w:szCs w:val="16"/>
              </w:rPr>
              <w:t>Joint preparation exposes silica-bearing material without silica controls in place — SDS not available — product applied to wet or contaminated joint —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br/>
              <w:t>Engineering:</w:t>
            </w:r>
            <w:r>
              <w:rPr>
                <w:rFonts w:ascii="Aptos" w:hAnsi="Aptos"/>
                <w:sz w:val="16"/>
                <w:szCs w:val="16"/>
              </w:rPr>
              <w:t xml:space="preserve"> Rated tip confirmed correct for surface and PSI — no damaged or modified tips — </w:t>
            </w:r>
            <w:r>
              <w:rPr>
                <w:rFonts w:ascii="Aptos" w:hAnsi="Aptos"/>
                <w:b/>
                <w:bCs/>
                <w:sz w:val="16"/>
                <w:szCs w:val="16"/>
              </w:rPr>
              <w:t>Whip-checks on all hose connections</w:t>
            </w:r>
            <w:r>
              <w:rPr>
                <w:rFonts w:ascii="Aptos" w:hAnsi="Aptos"/>
                <w:sz w:val="16"/>
                <w:szCs w:val="16"/>
              </w:rPr>
              <w:t xml:space="preserve"> — </w:t>
            </w:r>
            <w:r>
              <w:rPr>
                <w:rFonts w:ascii="Aptos" w:hAnsi="Aptos"/>
                <w:b/>
                <w:bCs/>
                <w:sz w:val="16"/>
                <w:szCs w:val="16"/>
              </w:rPr>
              <w:t>Exclusion zone established</w:t>
            </w:r>
            <w:r>
              <w:rPr>
                <w:rFonts w:ascii="Aptos" w:hAnsi="Aptos"/>
                <w:sz w:val="16"/>
                <w:szCs w:val="16"/>
              </w:rPr>
              <w:t xml:space="preserve"> — min. 3m from jet line – delineate area with bunting or other — Trigger lock functional —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Admin:</w:t>
            </w:r>
            <w:r>
              <w:rPr>
                <w:rFonts w:ascii="Aptos" w:hAnsi="Aptos"/>
                <w:sz w:val="16"/>
                <w:szCs w:val="16"/>
              </w:rPr>
              <w:t xml:space="preserve"> Petrol unit outdoors or fully open area only — never in enclosed or semi-enclosed space (CO accumulation risk) — Waste wash-off managed, captured or diverted from stormwater —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sz w:val="16"/>
                <w:szCs w:val="16"/>
              </w:rPr>
              <w:t xml:space="preserve"> CO symptoms (headache, dizziness) —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Lead dust and particle inhalation —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7"/>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Encapsulation: apply approved encapsulant or overcoat system directly over stable lead paint —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